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99" w:rsidRDefault="00E4759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E47599" w:rsidRDefault="00E47599">
      <w:pPr>
        <w:pStyle w:val="newncpi"/>
        <w:ind w:firstLine="0"/>
        <w:jc w:val="center"/>
      </w:pPr>
      <w:r>
        <w:rPr>
          <w:rStyle w:val="datepr"/>
        </w:rPr>
        <w:t>1 июля 2014 г.</w:t>
      </w:r>
      <w:r>
        <w:rPr>
          <w:rStyle w:val="number"/>
        </w:rPr>
        <w:t xml:space="preserve"> № 30</w:t>
      </w:r>
    </w:p>
    <w:p w:rsidR="00E47599" w:rsidRDefault="00E47599">
      <w:pPr>
        <w:pStyle w:val="title"/>
      </w:pPr>
      <w:r>
        <w:t>Об установлении запрета на охоту на водоплавающую дичь в весенний сезон охоты</w:t>
      </w:r>
    </w:p>
    <w:p w:rsidR="00E47599" w:rsidRDefault="00E47599">
      <w:pPr>
        <w:pStyle w:val="changei"/>
      </w:pPr>
      <w:r>
        <w:t>Изменения и дополнения:</w:t>
      </w:r>
    </w:p>
    <w:p w:rsidR="00E47599" w:rsidRDefault="00E47599">
      <w:pPr>
        <w:pStyle w:val="changeadd"/>
      </w:pPr>
      <w:r>
        <w:t>Постановление Министерства природных ресурсов и охраны окружающей среды Республики Беларусь от 7 сентября 2016 г. № 30 (зарегистрировано в Национальном реестре - № 8/31274 от 21.09.2016 г.) &lt;W21631274&gt;</w:t>
      </w:r>
    </w:p>
    <w:p w:rsidR="00E47599" w:rsidRDefault="00E47599">
      <w:pPr>
        <w:pStyle w:val="newncpi"/>
      </w:pPr>
      <w:r>
        <w:t> </w:t>
      </w:r>
    </w:p>
    <w:p w:rsidR="00E47599" w:rsidRDefault="00E47599">
      <w:pPr>
        <w:pStyle w:val="preamble"/>
      </w:pPr>
      <w:r>
        <w:t>На основании части второй пункта 117 Правил ведения охотничьего хозяйства и охоты, утвержденных Указом Президента Республики Беларусь от 8 декабря 2005 г. № 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ими», и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 г. № 503 «О некоторых вопросах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E47599" w:rsidRDefault="00E47599">
      <w:pPr>
        <w:pStyle w:val="point"/>
      </w:pPr>
      <w:r>
        <w:t>1. Установить запрет на охоту на гуся белолобого, гуся-гуменника, гуся серого, канадскую казарку, крякву, чирка-трескунка, чирка-свистунка, чернеть красноголовую, чернеть хохлатую в охотничьих угодьях в весенний сезон охоты по перечню согласно приложению.</w:t>
      </w:r>
    </w:p>
    <w:p w:rsidR="00E47599" w:rsidRDefault="00E47599">
      <w:pPr>
        <w:pStyle w:val="point"/>
      </w:pPr>
      <w:r>
        <w:t>2. Настоящее постановление вступает в силу с 1 января 2015 г.</w:t>
      </w:r>
    </w:p>
    <w:p w:rsidR="00E47599" w:rsidRDefault="00E4759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1"/>
        <w:gridCol w:w="4695"/>
      </w:tblGrid>
      <w:tr w:rsidR="00E47599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7599" w:rsidRDefault="00E4759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7599" w:rsidRDefault="00E47599">
            <w:pPr>
              <w:pStyle w:val="newncpi0"/>
              <w:jc w:val="right"/>
            </w:pPr>
            <w:r>
              <w:rPr>
                <w:rStyle w:val="pers"/>
              </w:rPr>
              <w:t>В.Г.Цалко</w:t>
            </w:r>
          </w:p>
        </w:tc>
      </w:tr>
    </w:tbl>
    <w:p w:rsidR="00E47599" w:rsidRDefault="00E47599">
      <w:pPr>
        <w:pStyle w:val="newncpi"/>
      </w:pPr>
      <w:r>
        <w:t> </w:t>
      </w:r>
    </w:p>
    <w:tbl>
      <w:tblPr>
        <w:tblStyle w:val="tablencpi"/>
        <w:tblW w:w="3501" w:type="pct"/>
        <w:tblLook w:val="04A0" w:firstRow="1" w:lastRow="0" w:firstColumn="1" w:lastColumn="0" w:noHBand="0" w:noVBand="1"/>
      </w:tblPr>
      <w:tblGrid>
        <w:gridCol w:w="3006"/>
        <w:gridCol w:w="3566"/>
      </w:tblGrid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Министр </w:t>
            </w:r>
            <w:r>
              <w:br/>
              <w:t>лесного хозяйства</w:t>
            </w:r>
          </w:p>
          <w:p w:rsidR="00E47599" w:rsidRDefault="00E47599">
            <w:pPr>
              <w:pStyle w:val="agree"/>
              <w:spacing w:after="0"/>
            </w:pPr>
            <w:r>
              <w:t>Республики Беларусь</w:t>
            </w:r>
          </w:p>
          <w:p w:rsidR="00E47599" w:rsidRDefault="00E47599">
            <w:pPr>
              <w:pStyle w:val="agreefio"/>
            </w:pPr>
            <w:r>
              <w:t>М.М.</w:t>
            </w:r>
            <w:r>
              <w:rPr>
                <w:rStyle w:val="agreefio0"/>
              </w:rPr>
              <w:t>Амельянович</w:t>
            </w:r>
          </w:p>
          <w:p w:rsidR="00E47599" w:rsidRDefault="00E47599">
            <w:pPr>
              <w:pStyle w:val="agreedate"/>
            </w:pPr>
            <w:r>
              <w:t>20.06.2014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Начальник Государственной </w:t>
            </w:r>
            <w:r>
              <w:br/>
              <w:t xml:space="preserve">инспекции охраны животного </w:t>
            </w:r>
            <w:r>
              <w:br/>
              <w:t xml:space="preserve">и растительного мира при </w:t>
            </w:r>
            <w:r>
              <w:br/>
              <w:t>Президенте Республики Беларусь</w:t>
            </w:r>
          </w:p>
          <w:p w:rsidR="00E47599" w:rsidRDefault="00E47599">
            <w:pPr>
              <w:pStyle w:val="agreefio"/>
            </w:pPr>
            <w:r>
              <w:t>С.В.</w:t>
            </w:r>
            <w:r>
              <w:rPr>
                <w:rStyle w:val="agreefio0"/>
              </w:rPr>
              <w:t>Новико</w:t>
            </w:r>
            <w:r>
              <w:t>в</w:t>
            </w:r>
          </w:p>
          <w:p w:rsidR="00E47599" w:rsidRDefault="00E47599">
            <w:pPr>
              <w:pStyle w:val="agreedate"/>
            </w:pPr>
            <w:r>
              <w:t>20.06.2014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>Председатель</w:t>
            </w:r>
          </w:p>
          <w:p w:rsidR="00E47599" w:rsidRDefault="00E47599">
            <w:pPr>
              <w:pStyle w:val="agree"/>
              <w:spacing w:after="0"/>
            </w:pPr>
            <w:r>
              <w:t>Президиума Национальной</w:t>
            </w:r>
          </w:p>
          <w:p w:rsidR="00E47599" w:rsidRDefault="00E47599">
            <w:pPr>
              <w:pStyle w:val="agree"/>
              <w:spacing w:after="0"/>
            </w:pPr>
            <w:r>
              <w:t>академии наук Беларуси</w:t>
            </w:r>
          </w:p>
          <w:p w:rsidR="00E47599" w:rsidRDefault="00E47599">
            <w:pPr>
              <w:pStyle w:val="agreefio"/>
            </w:pPr>
            <w:r>
              <w:t>В.Г.Гусаков</w:t>
            </w:r>
          </w:p>
          <w:p w:rsidR="00E47599" w:rsidRDefault="00E47599">
            <w:pPr>
              <w:pStyle w:val="agreedate"/>
            </w:pPr>
            <w:r>
              <w:t>19.06.2014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И.Н.М</w:t>
            </w:r>
            <w:r>
              <w:rPr>
                <w:rStyle w:val="agreefio0"/>
              </w:rPr>
              <w:t>акар</w:t>
            </w:r>
          </w:p>
          <w:p w:rsidR="00E47599" w:rsidRDefault="00E47599">
            <w:pPr>
              <w:pStyle w:val="agreedate"/>
            </w:pPr>
            <w:r>
              <w:t>27.06.2014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П.М.Рудник</w:t>
            </w:r>
          </w:p>
          <w:p w:rsidR="00E47599" w:rsidRDefault="00E47599">
            <w:pPr>
              <w:pStyle w:val="agreedate"/>
            </w:pPr>
            <w:r>
              <w:t>27.06.2014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А.Н.К</w:t>
            </w:r>
            <w:r>
              <w:rPr>
                <w:rStyle w:val="agreefio0"/>
              </w:rPr>
              <w:t>осине</w:t>
            </w:r>
            <w:r>
              <w:t>ц</w:t>
            </w:r>
          </w:p>
          <w:p w:rsidR="00E47599" w:rsidRDefault="00E47599">
            <w:pPr>
              <w:pStyle w:val="agreedate"/>
            </w:pPr>
            <w:r>
              <w:t>30.06.2014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В.В.Кравцов</w:t>
            </w:r>
          </w:p>
          <w:p w:rsidR="00E47599" w:rsidRDefault="00E47599">
            <w:pPr>
              <w:pStyle w:val="agreedate"/>
            </w:pPr>
            <w:r>
              <w:lastRenderedPageBreak/>
              <w:t>30.06.2014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lastRenderedPageBreak/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Председатель </w:t>
            </w:r>
            <w:r>
              <w:br/>
              <w:t>Гомельского областного</w:t>
            </w:r>
          </w:p>
          <w:p w:rsidR="00E47599" w:rsidRDefault="00E47599">
            <w:pPr>
              <w:pStyle w:val="agree"/>
              <w:spacing w:after="0"/>
            </w:pPr>
            <w:r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В.А.Дво</w:t>
            </w:r>
            <w:r>
              <w:rPr>
                <w:rStyle w:val="agreefio0"/>
              </w:rPr>
              <w:t>рник</w:t>
            </w:r>
          </w:p>
          <w:p w:rsidR="00E47599" w:rsidRDefault="00E47599">
            <w:pPr>
              <w:pStyle w:val="agreedate"/>
            </w:pPr>
            <w:r>
              <w:lastRenderedPageBreak/>
              <w:t>27.06.2014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</w:tr>
      <w:tr w:rsidR="00E47599">
        <w:trPr>
          <w:trHeight w:val="20"/>
        </w:trPr>
        <w:tc>
          <w:tcPr>
            <w:tcW w:w="2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СОГЛАСОВАНО</w:t>
            </w:r>
          </w:p>
          <w:p w:rsidR="00E47599" w:rsidRDefault="00E47599">
            <w:pPr>
              <w:pStyle w:val="agree"/>
              <w:spacing w:after="0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E47599" w:rsidRDefault="00E47599">
            <w:pPr>
              <w:pStyle w:val="agreefio"/>
            </w:pPr>
            <w:r>
              <w:t>К.А.Сумар</w:t>
            </w:r>
          </w:p>
          <w:p w:rsidR="00E47599" w:rsidRDefault="00E47599">
            <w:pPr>
              <w:pStyle w:val="agreedate"/>
            </w:pPr>
            <w:r>
              <w:t>27.06.2014</w:t>
            </w:r>
          </w:p>
        </w:tc>
        <w:tc>
          <w:tcPr>
            <w:tcW w:w="2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gree"/>
              <w:spacing w:after="0"/>
            </w:pPr>
            <w:r>
              <w:t> </w:t>
            </w:r>
          </w:p>
        </w:tc>
      </w:tr>
    </w:tbl>
    <w:p w:rsidR="00E47599" w:rsidRDefault="00E4759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78"/>
        <w:gridCol w:w="3608"/>
      </w:tblGrid>
      <w:tr w:rsidR="00E47599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append1"/>
            </w:pPr>
            <w:r>
              <w:t>Приложение</w:t>
            </w:r>
          </w:p>
          <w:p w:rsidR="00E47599" w:rsidRDefault="00E4759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E47599" w:rsidRDefault="00E47599">
            <w:pPr>
              <w:pStyle w:val="append"/>
            </w:pPr>
            <w:r>
              <w:t>01.07.2014 № 30</w:t>
            </w:r>
          </w:p>
        </w:tc>
      </w:tr>
    </w:tbl>
    <w:p w:rsidR="00E47599" w:rsidRDefault="00E47599">
      <w:pPr>
        <w:pStyle w:val="titlep"/>
        <w:jc w:val="left"/>
      </w:pPr>
      <w:r>
        <w:t xml:space="preserve">ПЕРЕЧЕНЬ </w:t>
      </w:r>
      <w:r>
        <w:br/>
      </w:r>
      <w:bookmarkStart w:id="0" w:name="_GoBack"/>
      <w:r>
        <w:t>охотничьих угодий, на территории которых запрещается охота на гуся белолобого, гуся-гуменника, гуся серого, канадскую казарку, крякву, чирка-трескунка, чирка-свистунка, чернеть красноголовую, чернеть хохлатую в весенний сезон охоты</w:t>
      </w:r>
      <w:bookmarkEnd w:id="0"/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04"/>
        <w:gridCol w:w="2128"/>
        <w:gridCol w:w="5292"/>
      </w:tblGrid>
      <w:tr w:rsidR="00E47599">
        <w:trPr>
          <w:trHeight w:val="240"/>
        </w:trPr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Район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Наименование охотничьих угодий</w:t>
            </w:r>
          </w:p>
        </w:tc>
        <w:tc>
          <w:tcPr>
            <w:tcW w:w="2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Границы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599" w:rsidRDefault="00E47599">
            <w:pPr>
              <w:pStyle w:val="table10"/>
              <w:jc w:val="center"/>
            </w:pPr>
            <w:r>
              <w:t>Брестская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Березовский, Дрогичинский, Ивановский, Ивацевичский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биологический заказник «Споровский»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согласно приложению к постановлению Совета Министров Республики Беларусь от 23 февраля 1999 г. № 281 «О республиканском биологическом заказнике «Споровский» (Национальный реестр правовых актов Республики Беларусь, 1999 г., № 20, 5/339)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Брестский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Территория рыбхоза «Страдоч» открытого акционерного общества «Птицефабрика Медновская»; пруды общества с ограниченной ответственностью «Дзик»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северо-западного угла квартала 92 Брестского лесничества государственного лесохозяйственного учреждения (далее – ГЛХУ) «Брестский лесхоз» в восточном направлении по его северной границе до северо-восточного угла этого квартала;</w:t>
            </w:r>
            <w:r>
              <w:br/>
              <w:t>на востоке – от северо-восточного угла квартала 92 Брестского лесничества ГЛХУ «Брестский лесхоз» в южном направлении по западным границам кварталов 93, 119, 144, 153, 166, 167, 191 Брестского лесничества ГЛХУ «Брестский лесхоз» до северной границы квартала 13 Меднянского лесничества ГЛХУ «Брестский лесхоз»;</w:t>
            </w:r>
            <w:r>
              <w:br/>
              <w:t>на юге – в западном направлении по северным границам кварталов 13, 12, 8, 7 Меднянского лесничества ГЛХУ «Брестский лесхоз» до юго-восточного угла квартала 184 Брестского лесничества ГЛХУ «Брестский лесхоз»;</w:t>
            </w:r>
            <w:r>
              <w:br/>
              <w:t>на западе – от юго-восточного угла квартала 184 Брестского лесничества ГЛХУ «Брестский лесхоз» в северном направлении по восточной границе кварталов 184, 179, 164, 142, 117, 91 Брестского лесничества ГЛХУ «Брестский лесхоз» до северо-западного угла квартала 92 Брестского лесничества ГЛХУ «Брестский лесхоз»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Дрогичинский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Территория открытого акционерного общества «Рыбхоз «Днепробугский»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прудов открытого акционерного общества «Рыбхоз «Днепробугский»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Ивацевичский, Ганцевичский, Ляховичский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ландшафтный заказник «Выгонощанское»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постановлением Совета Министров Республики Беларусь от 27 декабря 2007 г. № 1833 «О республиканских заказниках» (Национальный реестр правовых актов Республики Беларусь, 2008 г., № 17, 5/26594)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Каменецкий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Место слияния рек Лесная Левая и Лесная Правая 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На севере – от восточной окраины деревни Чернаки на восток по проселочной дороге в направлении моста через реку Лесная Правая, пересекая указанную реку по границе </w:t>
            </w:r>
            <w:r>
              <w:lastRenderedPageBreak/>
              <w:t>между кварталами 42 и 40, 42 и 43, 46 и 43, 46 и 44, 47 и 44 до северо-восточного угла квартала 47 Речицкого лесничества государственного природоохранного учреждения «Национальный парк «Беловежская пуща» (далее – Речицкое лесничество);</w:t>
            </w:r>
            <w:r>
              <w:br/>
              <w:t>на востоке – от северо-восточного угла квартала Речицкого лесничества по границе между кварталами 47 и 7, 47 и 13, 47 и 19, 48 и 19, 49 и 19, 52 и 19 указанного лесничества до восточного угла квартала 52;</w:t>
            </w:r>
            <w:r>
              <w:br/>
              <w:t>на юге – от восточного угла квартала 52 Речицкого лесничества на юго-запад по границе между кварталами 52 и 53, 51 и 53, 51 и 72, 46 и 72, 45 и 72 до места слияния рек Лесная Левая и Лесная Правая, далее на запад по левому берегу реки Лесная вниз по течению до места впадения мелиоративного канала, соединяющего пруды деревни Новицковичи с рекой Лесная, далее на северо-запад по указанному мелиоративному каналу до места пересечения с автомобильной дорогой Н347;</w:t>
            </w:r>
            <w:r>
              <w:br/>
              <w:t>на западе – от места пересечения мелиоративного канала, соединяющего пруды деревни Новицковичи с рекой Лесная, автомобильной дорогой Н347 на север по указанной автодороге через деревню Новицковичи до деревни Чернаки, далее на юго-восток через указанную деревню до восточной окраины деревни Чернаки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lastRenderedPageBreak/>
              <w:t>1.6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Кобринский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Затопленное выработанное торфяное месторождение «Кустовичи»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пересечения автомобильной дороги М-1/Е 30 Брест (Козловичи) – Минск – граница Российской Федерации (Редьки) (далее – дорога М-1) с автомобильной дорогой Н-847 Кустовичи (от автомобильной дороги М-1) – Октябрь – Городец (далее – дорога Н-847) в северо-восточном направлении по дороге М-1 до пересечения с автомобильной дорогой Н-845 Запруды – Демидовщина – Грушево (далее – дорога Н-845), в восточном направлении по дороге Н-845 до пересечения с автомобильной дорогой Н-865 Шеметовка – Смолярня – Новоселки (далее – дорога Н-865) в пределах деревни Шеметовка;</w:t>
            </w:r>
            <w:r>
              <w:br/>
              <w:t>на востоке – от пересечения дороги Н-845 с дорогой Н-865 в пределах деревни Шеметовка в южном направлении по дороге Н-845 через деревни Березно, Мазури, Демидовщина, Осмоловичи до пересечения дороги Н-845 с рекой Млынок на правом берегу;</w:t>
            </w:r>
            <w:r>
              <w:br/>
              <w:t>на юге – от пересечения дороги Н-845 с рекой Млынок на правом берегу в западном направлении по правому берегу реки Млынок до ее впадения в канал Королевский, в северо-западном направлении по правому берегу канала Королевский до пересечения с дорогой Н-847;</w:t>
            </w:r>
            <w:r>
              <w:br/>
              <w:t>на западе – от пересечения канала Королевский с дорогой Н-847 в северном и северо-западном направлениях по дороге Н-847 через деревни Октябрь, Кустовичи до пересечения дороги М-1 с дорогой Н-847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Лунинецкий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Участок мелиоративной системы «Ракитно»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В пределах летнего польдера «Ракитно»:</w:t>
            </w:r>
            <w:r>
              <w:br/>
              <w:t>на севере – от места пересечения дамбы № 2 и дамбы № 3 по внешней дамбе летнего польдера «Ракитно» в юго-восточном направлении 2,4 км, в восточном направлении по этой дамбе 2,5 км до насосной станции зимнего польдера «Ракитно» и водосброса № 1;</w:t>
            </w:r>
            <w:r>
              <w:br/>
              <w:t>на востоке – от насосной станции зимнего польдера «Ракитно» и водосброса № 1 по обводному каналу летнего польдера «Ракитно» в южном направлении 570 м до поворота обводного канала в западном направлении;</w:t>
            </w:r>
            <w:r>
              <w:br/>
              <w:t>на юге – от поворота обводного канала в западном направлении по этому каналу на запад 5430 м до дамбы № 2;</w:t>
            </w:r>
            <w:r>
              <w:br/>
              <w:t>на западе – по дамбе № 2 летнего польдера «Ракитно» в северном направлении до ее пересечения с дамбой № 3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lastRenderedPageBreak/>
              <w:t>1.8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Пинский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Участки рек Припять, Пина и Ясельда и прилегающие к ним территории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В пределах летнего польдера «Бережцы»:</w:t>
            </w:r>
            <w:r>
              <w:br/>
              <w:t>на западе – по автомобильной дороге от деревни Бережцы в северном направлении по дамбе 5,1 км до Т-образного перекрестка на границе мелиорированных земель открытого акционерного общества «Парохонское»;</w:t>
            </w:r>
            <w:r>
              <w:br/>
              <w:t>на севере – от Т-образного перекрестка на границе мелиорированных земель открытого акционерного общества «Парохонское» в восточном направлении по дамбе гидромелиоративной системы до реки Бобрик, в юго-восточном направлении по противопаводковой дамбе на правом берегу реки Бобрик 2,5 км до поворота дамбы в южном направлении;</w:t>
            </w:r>
            <w:r>
              <w:br/>
              <w:t>на востоке и юге – от поворота противопаводковой дамбы по границе летнего польдера «Бережцы» и естественной поймы реки Припять в южном, в юго-западном направлениях 3,5 км, по противопаводковой дамбе в западном направлении до деревни Бережцы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Столинский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ландшафтный заказник «Ольманские болота»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согласно приложению к постановлению Совета Министров Республики Беларусь от 12 ноября 1998 г. № 1737 «Об образовании республиканского ландшафтного заказника «Ольманские болота» (Собрание декретов, указов Президента и постановлений Правительства Республики Беларусь, 1998 г., № 32, ст. 818)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Витебская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Браславский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Озеро Снуды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озера Снуды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Браславский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Озеро Дрисвяты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озера Дрисвяты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Браславский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Озера Недрово и Поцех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озера Недрово и 500-метровая зона от береговой линии;</w:t>
            </w:r>
            <w:r>
              <w:br/>
              <w:t>акватория озера Поцех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Браславский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Озеро Плюсы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озера Плюсы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Верхнедвинский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Озеро Освейское и прилегающая к нему территория 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северо-западного угла квартала 73 Игналинского лесничества ГЛХУ «Верхнедвинский лесхоз» (далее – Игналинское лесничество) в восточном направлении по северной границе кварталов 73, 74, 46, 47, 76–78, 53–55 Игналинского лесничества, по автомобильной дороге в южном направлении до деревни Красово;</w:t>
            </w:r>
            <w:r>
              <w:br/>
              <w:t>на востоке – от деревни Красово по автомобильной дороге через деревню Освеица до деревни Игналино, в южном направлении по восточной границе кварталов 123, 124, 122 Игналинского лесничества до деревни Церковно, по автомобильной дороге в юго-западном направлении до поселка Чапаевский;</w:t>
            </w:r>
            <w:r>
              <w:br/>
              <w:t>на юге – от поселка Чапаевский в западном направлении по автомобильной дороге до деревни Кончаны (через деревню Великое Село, городской поселок Освея);</w:t>
            </w:r>
            <w:r>
              <w:br/>
              <w:t>на западе – от деревни Кончаны в северном направлении по западной границе кварталов 107, 108, 87, 73 Игналинского лесничества до северо-западного угла квартала 73 Игналинского лесничества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Дубровенский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Торфоразработка «Осинторфский» и прилегающая к ней территория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деревни Веретея в северо-восточном направлении по автомобильной дороге до деревни Поселок № 10, в восточном направлении 2 км по проселочной дороге до реки Верхита, в юго-восточном направлении по правому берегу реки Верхита до деревни Озеры;</w:t>
            </w:r>
            <w:r>
              <w:br/>
              <w:t xml:space="preserve">на востоке – от деревни Озеры в юго-восточном направлении по правому берегу реки Верхита до озера Казенное, в юго-восточном направлении по правому берегу реки Верхита до озера Афанасьевское, в юго-восточном направлении по </w:t>
            </w:r>
            <w:r>
              <w:lastRenderedPageBreak/>
              <w:t>правому берегу реки Верхита до деревни Шеки, в юго-западном направлении по автомобильной дороге до деревни Большое Тхорино, в юго-западном направлении до места пересечения этой автомобильной дороги с дамбой бывшей дороги узкой колеи в 1 км к югу от деревни Большое Тхорино;</w:t>
            </w:r>
            <w:r>
              <w:br/>
              <w:t>на юге – от места пересечения автомобильной дороги с дамбой бывшей дороги узкой колеи в 1 км от деревни Большое Тхорино по дороге узкой колеи в западном направлении до места пересечения с автомобильной дорогой в 1 км к югу от агрогородка Осинторф;</w:t>
            </w:r>
            <w:r>
              <w:br/>
              <w:t>на западе – от агрогородка Осинторф в западном направлении до деревни Поселок № 11, в северо-западном направлении по автомобильной дороге до деревни Холмы, в северо-восточном направлении по автомобильной дороге до деревни Веретея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lastRenderedPageBreak/>
              <w:t>2.7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Миорский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Озеро Обстерно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озера Обстерно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Миорский, Шарковщинский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Болото «Ельня» и прилегающая к нему территория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деревни Черессы в северо-восточном направлении по автомобильной дороге Р-14 Полоцк – Миоры – Браслав через деревни Малая Ковалевщина, Переслово, Видоки до деревни Турково;</w:t>
            </w:r>
            <w:r>
              <w:br/>
              <w:t>на востоке – от деревни Турково в южном направлении по автомобильной дороге через деревни Новинцы, Денисово, Баслаки, Ситьково-2 до деревни Соколово;</w:t>
            </w:r>
            <w:r>
              <w:br/>
              <w:t>на юге – от деревни Соколово по автомобильной дороге в юго-западном направлении через деревни Людвиново, Зорька, Иваново, Бояры-1, Юзефово до деревни Германовичи;</w:t>
            </w:r>
            <w:r>
              <w:br/>
              <w:t>на западе – от деревни Германовичи в северо-западном направлении через деревни Дикево, Красовщина, Старый Погост, в северном направлении через деревни Юнделово, Новгороды, Тилевцы, Дворное Село, Свердлы до деревни Черессы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Полоцкий, Шумилинский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ландшафтный заказник «Козьянский»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согласно приложению к постановлению Совета Министров Республики Беларусь от 11 ноября 1999 г. № 1765 «Об образовании республиканского ландшафтного заказника «Козьянский» (Национальный реестр правовых актов Республики Беларусь, 1999 г., № 89, 5/2041)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Гомельская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Житковичский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Участок реки Припять у города Турова и прилегающая к нему территория 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места впадения озера Линское в реку Припять по правому берегу реки Припять в восточном направлении до пересечения с автомобильной дорогой Р-88 Житковичи – Давыд-Городок – граница Украины (Верхний Теребежов) (далее – дорога Р-88);</w:t>
            </w:r>
            <w:r>
              <w:br/>
              <w:t>на востоке – от пересечения реки Припять с дорогой Р-88 в южном направлении по дороге Р-88 и мосту через реку Припять до деревни Черничи и поворота на город Туров;</w:t>
            </w:r>
            <w:r>
              <w:br/>
              <w:t>на юге – от поворота на город Туров в западном направлении по дороге Р-88 до города Турова, по северной границе города Турова и деревни Запесочье, по дороге Р-88 до поворота на дамбу перед деревней Воронино;</w:t>
            </w:r>
            <w:r>
              <w:br/>
              <w:t>на западе – от поворота на дамбу перед деревней Воронино в северо-восточном направлении по дамбе до места впадения озера Линское в реку Припять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Жлобинский, Светлогорский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ландшафтный заказник «Выдрица»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согласно приложению к постановлению Совета Министров Республики Беларусь от 14 октября 1999 г. № 1586 «Об образовании республиканского ландшафтного заказника «Выдрица» (Национальный реестр правовых актов Республики Беларусь, 1999 г., № 82, 5/1822)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Гродненская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lastRenderedPageBreak/>
              <w:t>4.1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Берестовицкий, Гродненский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Участок реки Свислочь 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востоке – от пересечения автомобильной дороги Р-99 Барановичи – Волковыск – Пограничный – Гродно (далее – дорога Р-99) с автомобильной дорогой Н-6228 Почебуты – Одла – Могиляны (далее – дорога Н-6228), по дороге Р-99 до пересечения с автомобильной дорогой Н-6226 Большая Берестовица – Поплавцы – Ковали – Олекшицы (далее – дорога Н-6226), в западном и южном направлениях по дороге Н-6226 до пересечения с автомобильной дорогой Н-6669 Малая Берестовица – Крынки (далее – дорога Н-6669);</w:t>
            </w:r>
            <w:r>
              <w:br/>
              <w:t>на юге – по дороге Н-6669 до пересечения с автомобильной дорогой Н-6000 Индура – Глебовичи – Лишки (далее – дорога Н-6000);</w:t>
            </w:r>
            <w:r>
              <w:br/>
              <w:t>на западе – по дороге Н-6000 до деревни Одла;</w:t>
            </w:r>
            <w:r>
              <w:br/>
              <w:t>на северо-западе – от деревни Одла по дороге Н-6228 до пересечения с дорогой Р-99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водохранилища Гродненской ГЭС и прилегающая к нему территория</w:t>
            </w:r>
          </w:p>
        </w:tc>
        <w:tc>
          <w:tcPr>
            <w:tcW w:w="2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Акватория водохранилища Гродненской ГЭС и 500-метровая зона от береговой линии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Щучинский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ландшафтный заказник «Котра»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постановлением Совета Министров Республики Беларусь от 19 июня 2003 г. № 811 «О республиканском ландшафтном заказнике «Котра» (Национальный реестр правовых актов Республики Беларусь, 2003 г., № 73, 5/12639)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Минская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Борисовский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Участки рек Березина и Гайна и прилегающая к ним территория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востоке – от деревни Ельница в юго-западном направлении до деревни Холхолица, по автомобильной дороге в северо-западном направлении до деревни Нежицы, в южном направлении через деревни Яблочина, Рогатка, Звенята, Кричино, Заболотье до автомобильной дороги Р-63 Борисов – Вилейка – Ошмяны (далее – дорога Р-63), до деревни Веселово;</w:t>
            </w:r>
            <w:r>
              <w:br/>
              <w:t>на юге – от деревни Веселово в западном направлении по дороге Р-63 до автомобильного моста через реку Гайна;</w:t>
            </w:r>
            <w:r>
              <w:br/>
              <w:t>на западе – от автомобильного моста через реку Гайна по правому берегу реки Гайна в северном направлении до места ее слияния с рекой Березина, по правому берегу реки Березина в северном направлении до места впадения в нее реки Ельница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Могилевская область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Белыничский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гидрологический заказник «Заозерье»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Установлены постановлением Совета Министров Республики Беларусь от 27 декабря 2007 г. № 1833 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Белыничский, Кличевский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Республиканский гидрологический заказник «Острова Дулебы»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Установлены согласно приложению к постановлению Совета Министров Республики Беларусь от 17 июня 1998 г. № 947 «Об образовании республиканского гидрологического заказника «Острова Дулебы» (Собрание декретов, указов Президента и постановлений Правительства Республики Беларусь, 1998 г., № 17, ст. 465)</w:t>
            </w:r>
          </w:p>
        </w:tc>
      </w:tr>
      <w:tr w:rsidR="00E47599">
        <w:trPr>
          <w:trHeight w:val="240"/>
        </w:trPr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 xml:space="preserve">Быховский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Участок реки Днепр и прилегающая к нему территория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599" w:rsidRDefault="00E47599">
            <w:pPr>
              <w:pStyle w:val="table10"/>
            </w:pPr>
            <w:r>
              <w:t>На севере – от автомобильного моста через реку Днепр в северо-восточном направлении до деревни Воронино;</w:t>
            </w:r>
            <w:r>
              <w:br/>
              <w:t>на востоке – от деревни Воронино в южном направлении по автомобильной дороге М-8/Е95 Граница Российской Федерации (Езерище) – Витебск – Гомель – граница Украины (Новая Гута) до автомобильного моста через реку Ухлясть, в юго-западном направлении по левому берегу реки Ухлясть до места ее впадения в реку Днепр и в южном направлении по левому берегу реки Днепр до места впадения в нее реки Рдица;</w:t>
            </w:r>
            <w:r>
              <w:br/>
              <w:t xml:space="preserve">на западе – от места впадения реки Рдица в реку Днепр в северо-западном направлении по левому берегу реки Рдица </w:t>
            </w:r>
            <w:r>
              <w:lastRenderedPageBreak/>
              <w:t>до пересечения ее с автомобильной дорогой Р-97 Могилев –Быхов – Рогачев, в северном направлении по этой автомобильной дороге до города Быхова и по его восточной окраине до автомобильного моста через реку Днепр</w:t>
            </w:r>
          </w:p>
        </w:tc>
      </w:tr>
    </w:tbl>
    <w:p w:rsidR="00E47599" w:rsidRDefault="00E47599">
      <w:pPr>
        <w:pStyle w:val="newncpi"/>
      </w:pPr>
      <w:r>
        <w:lastRenderedPageBreak/>
        <w:t> </w:t>
      </w:r>
    </w:p>
    <w:p w:rsidR="00844544" w:rsidRDefault="00794D58"/>
    <w:sectPr w:rsidR="00844544" w:rsidSect="00E47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58" w:rsidRDefault="00794D58" w:rsidP="00E47599">
      <w:pPr>
        <w:spacing w:after="0" w:line="240" w:lineRule="auto"/>
      </w:pPr>
      <w:r>
        <w:separator/>
      </w:r>
    </w:p>
  </w:endnote>
  <w:endnote w:type="continuationSeparator" w:id="0">
    <w:p w:rsidR="00794D58" w:rsidRDefault="00794D58" w:rsidP="00E4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99" w:rsidRDefault="00E47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99" w:rsidRDefault="00E475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E47599" w:rsidTr="00E47599">
      <w:tc>
        <w:tcPr>
          <w:tcW w:w="1800" w:type="dxa"/>
          <w:shd w:val="clear" w:color="auto" w:fill="auto"/>
          <w:vAlign w:val="center"/>
        </w:tcPr>
        <w:p w:rsidR="00E47599" w:rsidRDefault="00E4759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E47599" w:rsidRDefault="00E475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47599" w:rsidRDefault="00E475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03.01.2019</w:t>
          </w:r>
        </w:p>
        <w:p w:rsidR="00E47599" w:rsidRPr="00E47599" w:rsidRDefault="00E4759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7599" w:rsidRDefault="00E47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58" w:rsidRDefault="00794D58" w:rsidP="00E47599">
      <w:pPr>
        <w:spacing w:after="0" w:line="240" w:lineRule="auto"/>
      </w:pPr>
      <w:r>
        <w:separator/>
      </w:r>
    </w:p>
  </w:footnote>
  <w:footnote w:type="continuationSeparator" w:id="0">
    <w:p w:rsidR="00794D58" w:rsidRDefault="00794D58" w:rsidP="00E4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99" w:rsidRDefault="00E47599" w:rsidP="001E02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47599" w:rsidRDefault="00E475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99" w:rsidRPr="00E47599" w:rsidRDefault="00E47599" w:rsidP="001E02C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47599">
      <w:rPr>
        <w:rStyle w:val="a7"/>
        <w:rFonts w:ascii="Times New Roman" w:hAnsi="Times New Roman" w:cs="Times New Roman"/>
        <w:sz w:val="24"/>
      </w:rPr>
      <w:fldChar w:fldCharType="begin"/>
    </w:r>
    <w:r w:rsidRPr="00E4759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4759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E47599">
      <w:rPr>
        <w:rStyle w:val="a7"/>
        <w:rFonts w:ascii="Times New Roman" w:hAnsi="Times New Roman" w:cs="Times New Roman"/>
        <w:sz w:val="24"/>
      </w:rPr>
      <w:fldChar w:fldCharType="end"/>
    </w:r>
  </w:p>
  <w:p w:rsidR="00E47599" w:rsidRPr="00E47599" w:rsidRDefault="00E4759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99" w:rsidRDefault="00E47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99"/>
    <w:rsid w:val="00794D58"/>
    <w:rsid w:val="008822F4"/>
    <w:rsid w:val="00AA022C"/>
    <w:rsid w:val="00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4BF3-DD28-4BEF-B8BA-12595FA6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4759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4759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4759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475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475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4759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75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E4759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4759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4759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759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4759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759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759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4759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759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759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759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475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759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4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greefio0">
    <w:name w:val="agreefio0"/>
    <w:basedOn w:val="a0"/>
    <w:rsid w:val="00E47599"/>
  </w:style>
  <w:style w:type="paragraph" w:styleId="a3">
    <w:name w:val="header"/>
    <w:basedOn w:val="a"/>
    <w:link w:val="a4"/>
    <w:uiPriority w:val="99"/>
    <w:unhideWhenUsed/>
    <w:rsid w:val="00E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599"/>
  </w:style>
  <w:style w:type="paragraph" w:styleId="a5">
    <w:name w:val="footer"/>
    <w:basedOn w:val="a"/>
    <w:link w:val="a6"/>
    <w:uiPriority w:val="99"/>
    <w:unhideWhenUsed/>
    <w:rsid w:val="00E4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599"/>
  </w:style>
  <w:style w:type="character" w:styleId="a7">
    <w:name w:val="page number"/>
    <w:basedOn w:val="a0"/>
    <w:uiPriority w:val="99"/>
    <w:semiHidden/>
    <w:unhideWhenUsed/>
    <w:rsid w:val="00E47599"/>
  </w:style>
  <w:style w:type="table" w:styleId="a8">
    <w:name w:val="Table Grid"/>
    <w:basedOn w:val="a1"/>
    <w:uiPriority w:val="39"/>
    <w:rsid w:val="00E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2488</Words>
  <Characters>15974</Characters>
  <Application>Microsoft Office Word</Application>
  <DocSecurity>0</DocSecurity>
  <Lines>570</Lines>
  <Paragraphs>202</Paragraphs>
  <ScaleCrop>false</ScaleCrop>
  <Company>SPecialiST RePack</Company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Громович</dc:creator>
  <cp:keywords/>
  <dc:description/>
  <cp:lastModifiedBy>Ольга И. Громович</cp:lastModifiedBy>
  <cp:revision>1</cp:revision>
  <dcterms:created xsi:type="dcterms:W3CDTF">2019-01-03T10:49:00Z</dcterms:created>
  <dcterms:modified xsi:type="dcterms:W3CDTF">2019-01-03T10:50:00Z</dcterms:modified>
</cp:coreProperties>
</file>